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80"/>
      </w:pPr>
      <w:r>
        <w:t>Canvasser Launch Checklist</w:t>
      </w:r>
    </w:p>
    <w:p>
      <w:pPr>
        <w:spacing w:after="280"/>
      </w:pPr>
      <w:r>
        <w:rPr>
          <w:rFonts w:ascii="Aptos" w:hAnsi="Aptos"/>
          <w:b w:val="0"/>
          <w:color w:val="5D7287"/>
          <w:sz w:val="22"/>
        </w:rPr>
        <w:t>Field-shift briefing and readiness sheet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3FC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140" w:type="dxa"/>
              <w:start w:w="170" w:type="dxa"/>
              <w:bottom w:w="140" w:type="dxa"/>
              <w:end w:w="170" w:type="dxa"/>
            </w:tcMar>
          </w:tcPr>
          <w:p>
            <w:r>
              <w:rPr>
                <w:rFonts w:ascii="Aptos" w:hAnsi="Aptos"/>
                <w:b/>
                <w:color w:val="176ED1"/>
                <w:sz w:val="18"/>
              </w:rPr>
              <w:t>HOW TO USE THIS RESOURCE</w:t>
            </w:r>
          </w:p>
          <w:p>
            <w:pPr>
              <w:spacing w:after="0"/>
            </w:pPr>
            <w:r>
              <w:t>Replace the sample text, add campaign-specific details, and save a fresh copy. Keep the original as a clean template.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480"/>
      </w:tblGrid>
      <w:tr>
        <w:tc>
          <w:tcPr>
            <w:tcW w:type="dxa" w:w="50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Field</w:t>
            </w:r>
          </w:p>
        </w:tc>
        <w:tc>
          <w:tcPr>
            <w:tcW w:type="dxa" w:w="50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Campaign entry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Shift date and time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Meeting location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Shift lead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Walk list / area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Weather / safety notes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</w:tbl>
    <w:p>
      <w:pPr>
        <w:pStyle w:val="Heading1"/>
      </w:pPr>
      <w:r>
        <w:t>Before volunteers arrive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8640"/>
      </w:tblGrid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Walk lists and login instructions prepared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Scripts and priority messages reviewed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Literature, clipboards, pens, and identification ready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Safety and accessibility risks reviewed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Emergency and escalation contacts confirmed</w:t>
            </w:r>
          </w:p>
        </w:tc>
      </w:tr>
    </w:tbl>
    <w:p>
      <w:pPr>
        <w:pStyle w:val="Heading1"/>
      </w:pPr>
      <w:r>
        <w:t>Volunteer briefing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8640"/>
      </w:tblGrid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Demonstrate the mobile walk flow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Review result codes and data-entry standards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Explain apartment and multi-unit procedures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Confirm route boundaries and return time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Pair new volunteers with experienced canvassers</w:t>
            </w:r>
          </w:p>
        </w:tc>
      </w:tr>
    </w:tbl>
    <w:p>
      <w:pPr>
        <w:pStyle w:val="Heading1"/>
      </w:pPr>
      <w:r>
        <w:t>After the shift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8640"/>
      </w:tblGrid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Collect paper materials and notes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Confirm all devices synchronized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Review requests, callbacks, and data issues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Thank volunteers and schedule the next action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8352"/>
      <w:gridCol w:w="1152"/>
    </w:tblGrid>
    <w:tr>
      <w:tc>
        <w:tcPr>
          <w:tcW w:type="dxa" w:w="4752"/>
        </w:tcPr>
        <w:p>
          <w:r>
            <w:rPr>
              <w:rFonts w:ascii="Aptos" w:hAnsi="Aptos"/>
              <w:b w:val="0"/>
              <w:color w:val="5D7287"/>
              <w:sz w:val="16"/>
            </w:rPr>
            <w:t>CampaignGateway Operations Academy  |  Editable campaign resource</w:t>
          </w:r>
        </w:p>
      </w:tc>
      <w:tc>
        <w:tcPr>
          <w:tcW w:type="dxa" w:w="4752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256032" cy="25603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ampaigngateway-logo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032" cy="25603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624"/>
      <w:gridCol w:w="2880"/>
    </w:tblGrid>
    <w:tr>
      <w:tc>
        <w:tcPr>
          <w:tcW w:type="dxa" w:w="4752"/>
          <w:tcMar>
            <w:top w:w="40" w:type="dxa"/>
            <w:start w:w="40" w:type="dxa"/>
            <w:bottom w:w="40" w:type="dxa"/>
            <w:end w:w="40" w:type="dxa"/>
          </w:tcMar>
          <w:tcBorders>
            <w:bottom w:val="single" w:sz="10" w:color="176ED1"/>
          </w:tcBorders>
        </w:tcPr>
        <w:p>
          <w:r>
            <w:drawing>
              <wp:inline xmlns:a="http://schemas.openxmlformats.org/drawingml/2006/main" xmlns:pic="http://schemas.openxmlformats.org/drawingml/2006/picture">
                <wp:extent cx="2286000" cy="635496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ampaigngateway-logo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0" cy="63549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752"/>
          <w:tcMar>
            <w:top w:w="40" w:type="dxa"/>
            <w:start w:w="40" w:type="dxa"/>
            <w:bottom w:w="40" w:type="dxa"/>
            <w:end w:w="40" w:type="dxa"/>
          </w:tcMar>
          <w:tcBorders>
            <w:bottom w:val="single" w:sz="10" w:color="176ED1"/>
          </w:tcBorders>
        </w:tcPr>
        <w:p>
          <w:pPr>
            <w:jc w:val="right"/>
          </w:pPr>
          <w:r>
            <w:rPr>
              <w:rFonts w:ascii="Aptos" w:hAnsi="Aptos"/>
              <w:b/>
              <w:color w:val="176ED1"/>
              <w:sz w:val="18"/>
            </w:rPr>
            <w:t>FIELD-SHIFT BRIEFING AND READINESS SHEET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8324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2D5C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76ED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B2D5C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