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</w:pPr>
      <w:r>
        <w:t>GOTV Readiness Checklist</w:t>
      </w:r>
    </w:p>
    <w:p>
      <w:pPr>
        <w:spacing w:after="280"/>
      </w:pPr>
      <w:r>
        <w:rPr>
          <w:rFonts w:ascii="Aptos" w:hAnsi="Aptos"/>
          <w:b w:val="0"/>
          <w:color w:val="5D7287"/>
          <w:sz w:val="22"/>
        </w:rPr>
        <w:t>Advance-poll and Election Day preparation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AF3FC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r>
              <w:rPr>
                <w:rFonts w:ascii="Aptos" w:hAnsi="Aptos"/>
                <w:b/>
                <w:color w:val="176ED1"/>
                <w:sz w:val="18"/>
              </w:rPr>
              <w:t>HOW TO USE THIS RESOURCE</w:t>
            </w:r>
          </w:p>
          <w:p>
            <w:pPr>
              <w:spacing w:after="0"/>
            </w:pPr>
            <w:r>
              <w:t>Replace the sample text, add campaign-specific details, and save a fresh copy. Keep the original as a clean template.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480"/>
      </w:tblGrid>
      <w:tr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Field</w:t>
            </w:r>
          </w:p>
        </w:tc>
        <w:tc>
          <w:tcPr>
            <w:tcW w:type="dxa" w:w="5040"/>
            <w:shd w:fill="0B2D5C"/>
            <w:tcBorders>
              <w:top w:val="single" w:sz="8" w:color="0B2D5C"/>
              <w:left w:val="single" w:sz="8" w:color="0B2D5C"/>
              <w:bottom w:val="single" w:sz="8" w:color="0B2D5C"/>
              <w:right w:val="single" w:sz="8" w:color="0B2D5C"/>
              <w:insideH w:val="single" w:sz="8" w:color="0B2D5C"/>
              <w:insideV w:val="single" w:sz="8" w:color="0B2D5C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color w:val="FFFFFF"/>
                <w:sz w:val="18"/>
              </w:rPr>
              <w:t>Campaign entry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Election date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Advance-poll dates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GOTV lead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[Enter]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Supporter universe refreshed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[Date / time]</w:t>
            </w:r>
          </w:p>
        </w:tc>
      </w:tr>
      <w:tr>
        <w:tc>
          <w:tcPr>
            <w:tcW w:type="dxa" w:w="28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/>
                <w:color w:val="0B2D5C"/>
                <w:sz w:val="18"/>
              </w:rPr>
              <w:t>Last full rehearsal</w:t>
            </w:r>
          </w:p>
        </w:tc>
        <w:tc>
          <w:tcPr>
            <w:tcW w:type="dxa" w:w="6480"/>
            <w:tcBorders>
              <w:top w:val="single" w:sz="8" w:color="B8D3EF"/>
              <w:left w:val="single" w:sz="8" w:color="B8D3EF"/>
              <w:bottom w:val="single" w:sz="8" w:color="B8D3EF"/>
              <w:right w:val="single" w:sz="8" w:color="B8D3EF"/>
              <w:insideH w:val="single" w:sz="8" w:color="B8D3EF"/>
              <w:insideV w:val="single" w:sz="8" w:color="B8D3EF"/>
            </w:tcBorders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r>
              <w:rPr>
                <w:rFonts w:ascii="Aptos" w:hAnsi="Aptos"/>
                <w:b w:val="0"/>
                <w:color w:val="18324A"/>
                <w:sz w:val="18"/>
              </w:rPr>
              <w:t>[Date / time]</w:t>
            </w:r>
          </w:p>
        </w:tc>
      </w:tr>
    </w:tbl>
    <w:p>
      <w:pPr>
        <w:pStyle w:val="Heading1"/>
      </w:pPr>
      <w:r>
        <w:t>Data and targeting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8640"/>
      </w:tblGrid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Identified supporter universe is current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Already-voted records are excluded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Ride, special-ballot, and accessibility needs are flagged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Zones and lists are assigned to accountable leads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Data backup and paper contingency are ready</w:t>
            </w:r>
          </w:p>
        </w:tc>
      </w:tr>
    </w:tbl>
    <w:p>
      <w:pPr>
        <w:pStyle w:val="Heading1"/>
      </w:pPr>
      <w:r>
        <w:t>People and logistics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8640"/>
      </w:tblGrid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Volunteer schedule covers every operating period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Zone leads and escalation chain confirmed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Phones, chargers, vehicles, literature, and food arranged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Poll kits and location information distributed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Opening, midday, and closing check-ins scheduled</w:t>
            </w:r>
          </w:p>
        </w:tc>
      </w:tr>
    </w:tbl>
    <w:p>
      <w:pPr>
        <w:pStyle w:val="Heading1"/>
      </w:pPr>
      <w:r>
        <w:t>Communications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8640"/>
      </w:tblGrid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Supporter contact scripts approved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Volunteer instructions sent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Candidate schedule coordinated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Rapid-response and legal contacts available</w:t>
            </w:r>
          </w:p>
        </w:tc>
      </w:tr>
      <w:tr>
        <w:tc>
          <w:tcPr>
            <w:tcW w:type="dxa" w:w="648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pPr>
              <w:jc w:val="center"/>
            </w:pPr>
            <w:r>
              <w:rPr>
                <w:rFonts w:ascii="Aptos" w:hAnsi="Aptos"/>
                <w:b w:val="0"/>
                <w:color w:val="176ED1"/>
                <w:sz w:val="28"/>
              </w:rPr>
              <w:t>☐</w:t>
            </w:r>
          </w:p>
        </w:tc>
        <w:tc>
          <w:tcPr>
            <w:tcW w:type="dxa" w:w="8640"/>
            <w:tcBorders>
              <w:top w:val="single" w:sz="6" w:color="B8D3EF"/>
              <w:left w:val="single" w:sz="6" w:color="B8D3EF"/>
              <w:bottom w:val="single" w:sz="6" w:color="B8D3EF"/>
              <w:right w:val="single" w:sz="6" w:color="B8D3EF"/>
              <w:insideH w:val="single" w:sz="6" w:color="B8D3EF"/>
              <w:insideV w:val="single" w:sz="6" w:color="B8D3EF"/>
            </w:tcBorders>
            <w:tcMar>
              <w:top w:w="80" w:type="dxa"/>
              <w:start w:w="95" w:type="dxa"/>
              <w:bottom w:w="80" w:type="dxa"/>
              <w:end w:w="95" w:type="dxa"/>
            </w:tcMar>
          </w:tcPr>
          <w:p>
            <w:r>
              <w:rPr>
                <w:rFonts w:ascii="Aptos" w:hAnsi="Aptos"/>
                <w:b w:val="0"/>
                <w:color w:val="18324A"/>
                <w:sz w:val="19"/>
              </w:rPr>
              <w:t>End-of-day reporting format confirmed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8352"/>
      <w:gridCol w:w="1152"/>
    </w:tblGrid>
    <w:tr>
      <w:tc>
        <w:tcPr>
          <w:tcW w:type="dxa" w:w="4752"/>
        </w:tcPr>
        <w:p>
          <w:r>
            <w:rPr>
              <w:rFonts w:ascii="Aptos" w:hAnsi="Aptos"/>
              <w:b w:val="0"/>
              <w:color w:val="5D7287"/>
              <w:sz w:val="16"/>
            </w:rPr>
            <w:t>CampaignGateway Operations Academy  |  Editable campaign resource</w:t>
          </w:r>
        </w:p>
      </w:tc>
      <w:tc>
        <w:tcPr>
          <w:tcW w:type="dxa" w:w="4752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256032" cy="25603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ampaigngateway-logo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032" cy="25603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624"/>
      <w:gridCol w:w="2880"/>
    </w:tblGrid>
    <w:tr>
      <w:tc>
        <w:tcPr>
          <w:tcW w:type="dxa" w:w="4752"/>
          <w:tcMar>
            <w:top w:w="40" w:type="dxa"/>
            <w:start w:w="40" w:type="dxa"/>
            <w:bottom w:w="40" w:type="dxa"/>
            <w:end w:w="40" w:type="dxa"/>
          </w:tcMar>
          <w:tcBorders>
            <w:bottom w:val="single" w:sz="10" w:color="176ED1"/>
          </w:tcBorders>
        </w:tcPr>
        <w:p>
          <w:r>
            <w:drawing>
              <wp:inline xmlns:a="http://schemas.openxmlformats.org/drawingml/2006/main" xmlns:pic="http://schemas.openxmlformats.org/drawingml/2006/picture">
                <wp:extent cx="2286000" cy="63549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ampaigngateway-logo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0" cy="63549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752"/>
          <w:tcMar>
            <w:top w:w="40" w:type="dxa"/>
            <w:start w:w="40" w:type="dxa"/>
            <w:bottom w:w="40" w:type="dxa"/>
            <w:end w:w="40" w:type="dxa"/>
          </w:tcMar>
          <w:tcBorders>
            <w:bottom w:val="single" w:sz="10" w:color="176ED1"/>
          </w:tcBorders>
        </w:tcPr>
        <w:p>
          <w:pPr>
            <w:jc w:val="right"/>
          </w:pPr>
          <w:r>
            <w:rPr>
              <w:rFonts w:ascii="Aptos" w:hAnsi="Aptos"/>
              <w:b/>
              <w:color w:val="176ED1"/>
              <w:sz w:val="18"/>
            </w:rPr>
            <w:t>ADVANCE-POLL AND ELECTION DAY PREPARATION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8324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B2D5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76ED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2D5C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